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22" w:rsidRDefault="00144022" w:rsidP="00144022">
      <w:pPr>
        <w:pStyle w:val="Titreblocmetteur"/>
      </w:pPr>
      <w:r>
        <w:t>Direction des Ressources Humaines</w:t>
      </w:r>
    </w:p>
    <w:p w:rsidR="00144022" w:rsidRPr="008A236C" w:rsidRDefault="00144022" w:rsidP="00144022">
      <w:pPr>
        <w:pStyle w:val="Titreblocmetteur"/>
      </w:pPr>
    </w:p>
    <w:p w:rsidR="00144022" w:rsidRPr="00663081" w:rsidRDefault="00144022" w:rsidP="00144022">
      <w:pPr>
        <w:jc w:val="center"/>
        <w:rPr>
          <w:rFonts w:asciiTheme="majorHAnsi" w:hAnsiTheme="majorHAnsi" w:cstheme="majorHAnsi"/>
          <w:b/>
          <w:sz w:val="24"/>
        </w:rPr>
      </w:pPr>
      <w:r w:rsidRPr="006C5CAF">
        <w:rPr>
          <w:rFonts w:asciiTheme="majorHAnsi" w:hAnsiTheme="majorHAnsi" w:cstheme="majorHAnsi"/>
          <w:b/>
          <w:sz w:val="24"/>
        </w:rPr>
        <w:t xml:space="preserve">DESCRIPTIF DE POSTE </w:t>
      </w:r>
    </w:p>
    <w:p w:rsidR="00144022" w:rsidRDefault="00144022" w:rsidP="00144022">
      <w:pPr>
        <w:jc w:val="center"/>
        <w:rPr>
          <w:rFonts w:cstheme="minorHAnsi"/>
          <w:b/>
          <w:szCs w:val="22"/>
        </w:rPr>
      </w:pPr>
      <w:r>
        <w:rPr>
          <w:rFonts w:cstheme="minorHAnsi"/>
          <w:b/>
          <w:szCs w:val="22"/>
        </w:rPr>
        <w:t>Directeur</w:t>
      </w:r>
      <w:r w:rsidR="00572619">
        <w:rPr>
          <w:rFonts w:cstheme="minorHAnsi"/>
          <w:b/>
          <w:szCs w:val="22"/>
        </w:rPr>
        <w:t>/Directrice</w:t>
      </w:r>
      <w:r>
        <w:rPr>
          <w:rFonts w:cstheme="minorHAnsi"/>
          <w:b/>
          <w:szCs w:val="22"/>
        </w:rPr>
        <w:t xml:space="preserve"> des affaires financières </w:t>
      </w:r>
    </w:p>
    <w:p w:rsidR="00144022" w:rsidRPr="00663081" w:rsidRDefault="00144022" w:rsidP="00144022">
      <w:pPr>
        <w:jc w:val="center"/>
        <w:rPr>
          <w:rFonts w:cstheme="minorHAnsi"/>
          <w:b/>
          <w:szCs w:val="22"/>
        </w:rPr>
      </w:pPr>
    </w:p>
    <w:p w:rsidR="00144022" w:rsidRPr="006C5CAF" w:rsidRDefault="00144022" w:rsidP="00144022">
      <w:pPr>
        <w:pBdr>
          <w:top w:val="single" w:sz="4" w:space="1" w:color="auto"/>
          <w:left w:val="single" w:sz="4" w:space="4" w:color="auto"/>
          <w:bottom w:val="single" w:sz="4" w:space="1" w:color="auto"/>
          <w:right w:val="single" w:sz="4" w:space="4" w:color="auto"/>
        </w:pBdr>
        <w:rPr>
          <w:rFonts w:cstheme="minorHAnsi"/>
          <w:szCs w:val="22"/>
        </w:rPr>
      </w:pPr>
      <w:r>
        <w:rPr>
          <w:rFonts w:cstheme="minorHAnsi"/>
          <w:b/>
          <w:szCs w:val="22"/>
        </w:rPr>
        <w:t>Catégorie fonction publique</w:t>
      </w:r>
      <w:r w:rsidRPr="006C5CAF">
        <w:rPr>
          <w:rFonts w:cstheme="minorHAnsi"/>
          <w:szCs w:val="22"/>
        </w:rPr>
        <w:t xml:space="preserve"> : </w:t>
      </w:r>
      <w:r>
        <w:rPr>
          <w:rFonts w:cstheme="minorHAnsi"/>
          <w:szCs w:val="22"/>
        </w:rPr>
        <w:t>A – Directeur</w:t>
      </w:r>
      <w:r w:rsidR="000F7991">
        <w:rPr>
          <w:rFonts w:cstheme="minorHAnsi"/>
          <w:szCs w:val="22"/>
        </w:rPr>
        <w:t>/Directrice</w:t>
      </w:r>
      <w:r>
        <w:rPr>
          <w:rFonts w:cstheme="minorHAnsi"/>
          <w:szCs w:val="22"/>
        </w:rPr>
        <w:t xml:space="preserve"> des affaires financières </w:t>
      </w:r>
    </w:p>
    <w:p w:rsidR="00144022" w:rsidRPr="006C5CAF" w:rsidRDefault="00144022" w:rsidP="00144022">
      <w:pPr>
        <w:pBdr>
          <w:top w:val="single" w:sz="4" w:space="1" w:color="auto"/>
          <w:left w:val="single" w:sz="4" w:space="4" w:color="auto"/>
          <w:bottom w:val="single" w:sz="4" w:space="1" w:color="auto"/>
          <w:right w:val="single" w:sz="4" w:space="4" w:color="auto"/>
        </w:pBdr>
        <w:rPr>
          <w:rFonts w:cstheme="minorHAnsi"/>
          <w:szCs w:val="22"/>
        </w:rPr>
      </w:pPr>
      <w:r w:rsidRPr="006C5CAF">
        <w:rPr>
          <w:rFonts w:cstheme="minorHAnsi"/>
          <w:b/>
          <w:szCs w:val="22"/>
        </w:rPr>
        <w:t>Nature du recrutement</w:t>
      </w:r>
      <w:r w:rsidRPr="006C5CAF">
        <w:rPr>
          <w:rFonts w:cstheme="minorHAnsi"/>
          <w:szCs w:val="22"/>
        </w:rPr>
        <w:t xml:space="preserve"> : </w:t>
      </w:r>
      <w:r>
        <w:rPr>
          <w:rFonts w:cstheme="minorHAnsi"/>
          <w:szCs w:val="22"/>
        </w:rPr>
        <w:t>titulaire</w:t>
      </w:r>
    </w:p>
    <w:p w:rsidR="00144022" w:rsidRPr="006C5CAF" w:rsidRDefault="00144022" w:rsidP="00144022">
      <w:pPr>
        <w:pBdr>
          <w:top w:val="single" w:sz="4" w:space="1" w:color="auto"/>
          <w:left w:val="single" w:sz="4" w:space="4" w:color="auto"/>
          <w:bottom w:val="single" w:sz="4" w:space="1" w:color="auto"/>
          <w:right w:val="single" w:sz="4" w:space="4" w:color="auto"/>
        </w:pBdr>
        <w:rPr>
          <w:rFonts w:cstheme="minorHAnsi"/>
          <w:szCs w:val="22"/>
        </w:rPr>
      </w:pPr>
      <w:r w:rsidRPr="006C5CAF">
        <w:rPr>
          <w:rFonts w:cstheme="minorHAnsi"/>
          <w:b/>
          <w:szCs w:val="22"/>
        </w:rPr>
        <w:t>Nombre de postes offerts</w:t>
      </w:r>
      <w:r w:rsidRPr="006C5CAF">
        <w:rPr>
          <w:rFonts w:cstheme="minorHAnsi"/>
          <w:szCs w:val="22"/>
        </w:rPr>
        <w:t> : 1</w:t>
      </w:r>
    </w:p>
    <w:p w:rsidR="00144022" w:rsidRPr="006C5CAF" w:rsidRDefault="00144022" w:rsidP="00144022">
      <w:pPr>
        <w:pBdr>
          <w:top w:val="single" w:sz="4" w:space="1" w:color="auto"/>
          <w:left w:val="single" w:sz="4" w:space="4" w:color="auto"/>
          <w:bottom w:val="single" w:sz="4" w:space="1" w:color="auto"/>
          <w:right w:val="single" w:sz="4" w:space="4" w:color="auto"/>
        </w:pBdr>
        <w:rPr>
          <w:rFonts w:cstheme="minorHAnsi"/>
          <w:szCs w:val="22"/>
        </w:rPr>
      </w:pPr>
      <w:r w:rsidRPr="006C5CAF">
        <w:rPr>
          <w:rFonts w:cstheme="minorHAnsi"/>
          <w:b/>
          <w:szCs w:val="22"/>
        </w:rPr>
        <w:t>Date de prise de poste</w:t>
      </w:r>
      <w:r w:rsidRPr="006C5CAF">
        <w:rPr>
          <w:rFonts w:cstheme="minorHAnsi"/>
          <w:szCs w:val="22"/>
        </w:rPr>
        <w:t xml:space="preserve"> : </w:t>
      </w:r>
      <w:r>
        <w:rPr>
          <w:rFonts w:cstheme="minorHAnsi"/>
          <w:szCs w:val="22"/>
        </w:rPr>
        <w:t>1</w:t>
      </w:r>
      <w:r w:rsidRPr="000831DF">
        <w:rPr>
          <w:rFonts w:cstheme="minorHAnsi"/>
          <w:szCs w:val="22"/>
          <w:vertAlign w:val="superscript"/>
        </w:rPr>
        <w:t>er</w:t>
      </w:r>
      <w:r>
        <w:rPr>
          <w:rFonts w:cstheme="minorHAnsi"/>
          <w:szCs w:val="22"/>
        </w:rPr>
        <w:t xml:space="preserve"> juillet 2021</w:t>
      </w:r>
    </w:p>
    <w:p w:rsidR="00774D8A" w:rsidRDefault="00144022" w:rsidP="00144022">
      <w:pPr>
        <w:pBdr>
          <w:top w:val="single" w:sz="4" w:space="1" w:color="auto"/>
          <w:left w:val="single" w:sz="4" w:space="4" w:color="auto"/>
          <w:bottom w:val="single" w:sz="4" w:space="1" w:color="auto"/>
          <w:right w:val="single" w:sz="4" w:space="4" w:color="auto"/>
        </w:pBdr>
        <w:rPr>
          <w:rFonts w:cstheme="minorHAnsi"/>
          <w:szCs w:val="22"/>
        </w:rPr>
      </w:pPr>
      <w:r w:rsidRPr="006C5CAF">
        <w:rPr>
          <w:rFonts w:cstheme="minorHAnsi"/>
          <w:b/>
          <w:szCs w:val="22"/>
        </w:rPr>
        <w:t>Localisation du poste</w:t>
      </w:r>
      <w:r w:rsidRPr="006C5CAF">
        <w:rPr>
          <w:rFonts w:cstheme="minorHAnsi"/>
          <w:szCs w:val="22"/>
        </w:rPr>
        <w:t xml:space="preserve"> : </w:t>
      </w:r>
      <w:r>
        <w:rPr>
          <w:rFonts w:cstheme="minorHAnsi"/>
          <w:szCs w:val="22"/>
        </w:rPr>
        <w:t>Université Bordeaux Montaigne, Direction générale des services,</w:t>
      </w:r>
    </w:p>
    <w:p w:rsidR="00144022" w:rsidRDefault="00144022" w:rsidP="00144022">
      <w:pPr>
        <w:pBdr>
          <w:top w:val="single" w:sz="4" w:space="1" w:color="auto"/>
          <w:left w:val="single" w:sz="4" w:space="4" w:color="auto"/>
          <w:bottom w:val="single" w:sz="4" w:space="1" w:color="auto"/>
          <w:right w:val="single" w:sz="4" w:space="4" w:color="auto"/>
        </w:pBdr>
        <w:rPr>
          <w:rFonts w:cstheme="minorHAnsi"/>
          <w:szCs w:val="22"/>
        </w:rPr>
      </w:pPr>
      <w:r w:rsidRPr="006C5CAF">
        <w:rPr>
          <w:rFonts w:cstheme="minorHAnsi"/>
          <w:szCs w:val="22"/>
        </w:rPr>
        <w:t xml:space="preserve">Les candidatures </w:t>
      </w:r>
      <w:r>
        <w:rPr>
          <w:rFonts w:cstheme="minorHAnsi"/>
          <w:szCs w:val="22"/>
        </w:rPr>
        <w:t>(CV</w:t>
      </w:r>
      <w:r w:rsidR="004D2040">
        <w:rPr>
          <w:rFonts w:cstheme="minorHAnsi"/>
          <w:szCs w:val="22"/>
        </w:rPr>
        <w:t>,</w:t>
      </w:r>
      <w:r>
        <w:rPr>
          <w:rFonts w:cstheme="minorHAnsi"/>
          <w:szCs w:val="22"/>
        </w:rPr>
        <w:t xml:space="preserve"> lettre de motivation</w:t>
      </w:r>
      <w:r w:rsidR="004D2040">
        <w:rPr>
          <w:rFonts w:cstheme="minorHAnsi"/>
          <w:szCs w:val="22"/>
        </w:rPr>
        <w:t>,</w:t>
      </w:r>
      <w:r w:rsidR="00774D8A">
        <w:rPr>
          <w:rFonts w:cstheme="minorHAnsi"/>
          <w:szCs w:val="22"/>
        </w:rPr>
        <w:t xml:space="preserve"> copie du dernier entretien professionnel annuel</w:t>
      </w:r>
      <w:r>
        <w:rPr>
          <w:rFonts w:cstheme="minorHAnsi"/>
          <w:szCs w:val="22"/>
        </w:rPr>
        <w:t xml:space="preserve">) </w:t>
      </w:r>
      <w:r w:rsidRPr="006C5CAF">
        <w:rPr>
          <w:rFonts w:cstheme="minorHAnsi"/>
          <w:szCs w:val="22"/>
        </w:rPr>
        <w:t>sont à transmettre au plus tard le</w:t>
      </w:r>
      <w:r>
        <w:rPr>
          <w:rFonts w:cstheme="minorHAnsi"/>
          <w:szCs w:val="22"/>
        </w:rPr>
        <w:t xml:space="preserve"> </w:t>
      </w:r>
      <w:r w:rsidRPr="000F7991">
        <w:rPr>
          <w:rFonts w:cstheme="minorHAnsi"/>
          <w:b/>
          <w:szCs w:val="22"/>
        </w:rPr>
        <w:t>18 juin 2021</w:t>
      </w:r>
      <w:r>
        <w:rPr>
          <w:rFonts w:cstheme="minorHAnsi"/>
          <w:szCs w:val="22"/>
        </w:rPr>
        <w:t xml:space="preserve"> </w:t>
      </w:r>
      <w:r w:rsidRPr="006C5CAF">
        <w:rPr>
          <w:rFonts w:cstheme="minorHAnsi"/>
          <w:szCs w:val="22"/>
        </w:rPr>
        <w:t>à :</w:t>
      </w:r>
    </w:p>
    <w:p w:rsidR="00572619" w:rsidRPr="006C5CAF" w:rsidRDefault="00572619" w:rsidP="00572619">
      <w:pPr>
        <w:pBdr>
          <w:top w:val="single" w:sz="4" w:space="1" w:color="auto"/>
          <w:left w:val="single" w:sz="4" w:space="4" w:color="auto"/>
          <w:bottom w:val="single" w:sz="4" w:space="1" w:color="auto"/>
          <w:right w:val="single" w:sz="4" w:space="4" w:color="auto"/>
        </w:pBdr>
        <w:rPr>
          <w:rFonts w:cstheme="minorHAnsi"/>
          <w:szCs w:val="22"/>
        </w:rPr>
      </w:pPr>
      <w:hyperlink r:id="rId7" w:history="1">
        <w:r w:rsidRPr="00572619">
          <w:rPr>
            <w:rStyle w:val="Lienhypertexte"/>
            <w:rFonts w:cstheme="minorHAnsi"/>
            <w:szCs w:val="22"/>
          </w:rPr>
          <w:t>https://extranet.u-bordeaux-montaigne.fr/rita_fo/?num_cg=86&amp;num_form=1&amp;param1=ATT2021DAF</w:t>
        </w:r>
      </w:hyperlink>
    </w:p>
    <w:p w:rsidR="00572619" w:rsidRPr="006C5CAF" w:rsidRDefault="00572619" w:rsidP="00144022">
      <w:pPr>
        <w:pBdr>
          <w:top w:val="single" w:sz="4" w:space="1" w:color="auto"/>
          <w:left w:val="single" w:sz="4" w:space="4" w:color="auto"/>
          <w:bottom w:val="single" w:sz="4" w:space="1" w:color="auto"/>
          <w:right w:val="single" w:sz="4" w:space="4" w:color="auto"/>
        </w:pBdr>
        <w:rPr>
          <w:rFonts w:cstheme="minorHAnsi"/>
          <w:szCs w:val="22"/>
        </w:rPr>
      </w:pPr>
      <w:proofErr w:type="gramStart"/>
      <w:r>
        <w:rPr>
          <w:rFonts w:cstheme="minorHAnsi"/>
          <w:szCs w:val="22"/>
        </w:rPr>
        <w:t>ou</w:t>
      </w:r>
      <w:proofErr w:type="gramEnd"/>
      <w:r>
        <w:rPr>
          <w:rFonts w:cstheme="minorHAnsi"/>
          <w:szCs w:val="22"/>
        </w:rPr>
        <w:t xml:space="preserve"> par courriel :</w:t>
      </w:r>
    </w:p>
    <w:bookmarkStart w:id="0" w:name="_GoBack"/>
    <w:bookmarkEnd w:id="0"/>
    <w:p w:rsidR="00144022" w:rsidRDefault="00950B53" w:rsidP="00144022">
      <w:pPr>
        <w:pBdr>
          <w:top w:val="single" w:sz="4" w:space="1" w:color="auto"/>
          <w:left w:val="single" w:sz="4" w:space="4" w:color="auto"/>
          <w:bottom w:val="single" w:sz="4" w:space="1" w:color="auto"/>
          <w:right w:val="single" w:sz="4" w:space="4" w:color="auto"/>
        </w:pBdr>
        <w:rPr>
          <w:rStyle w:val="Lienhypertexte"/>
        </w:rPr>
      </w:pPr>
      <w:r>
        <w:fldChar w:fldCharType="begin"/>
      </w:r>
      <w:r>
        <w:instrText xml:space="preserve"> HYPERLINK "mailto:drh@u-bordeaux-montaigne.fr" </w:instrText>
      </w:r>
      <w:r>
        <w:fldChar w:fldCharType="separate"/>
      </w:r>
      <w:r w:rsidR="000F7991" w:rsidRPr="00D77D43">
        <w:rPr>
          <w:rStyle w:val="Lienhypertexte"/>
        </w:rPr>
        <w:t>drh@u-bordeaux-montaigne.fr</w:t>
      </w:r>
      <w:r>
        <w:rPr>
          <w:rStyle w:val="Lienhypertexte"/>
        </w:rPr>
        <w:fldChar w:fldCharType="end"/>
      </w:r>
    </w:p>
    <w:p w:rsidR="00144022" w:rsidRPr="006C5CAF" w:rsidRDefault="00144022" w:rsidP="00144022">
      <w:pPr>
        <w:rPr>
          <w:rFonts w:cstheme="minorHAnsi"/>
          <w:szCs w:val="22"/>
        </w:rPr>
      </w:pPr>
    </w:p>
    <w:p w:rsidR="00A17F67" w:rsidRDefault="00A17F67" w:rsidP="00A17F67">
      <w:pPr>
        <w:numPr>
          <w:ilvl w:val="1"/>
          <w:numId w:val="1"/>
        </w:numPr>
        <w:tabs>
          <w:tab w:val="num" w:pos="360"/>
        </w:tabs>
        <w:ind w:left="360"/>
        <w:jc w:val="both"/>
        <w:rPr>
          <w:rFonts w:cstheme="minorHAnsi"/>
          <w:b/>
          <w:szCs w:val="22"/>
        </w:rPr>
      </w:pPr>
      <w:r>
        <w:rPr>
          <w:rFonts w:cstheme="minorHAnsi"/>
          <w:b/>
          <w:szCs w:val="22"/>
        </w:rPr>
        <w:t>Contexte</w:t>
      </w:r>
    </w:p>
    <w:p w:rsidR="00A3728B" w:rsidRDefault="00A17F67" w:rsidP="00A17F67">
      <w:pPr>
        <w:jc w:val="both"/>
      </w:pPr>
      <w:r>
        <w:t>L’Université Bordeaux Montaigne est une université d’Arts, Lettres, Langues et Sciences Humaines qui accueille plus de 16 000 étudiants chaque année. Elle compte 1251 personnels dont 689 enseignants et chercheurs et 562 personnels BIATSS. Elle est actuellement organisée en 3 UFR, 1 IUT, 2 instituts, 1 Ecole doctorale et 16 équipes de recherche dont 5 UMR.</w:t>
      </w:r>
      <w:r w:rsidR="00A3728B">
        <w:t xml:space="preserve">  </w:t>
      </w:r>
    </w:p>
    <w:p w:rsidR="00A17F67" w:rsidRPr="00A3728B" w:rsidRDefault="00A3728B" w:rsidP="00A17F67">
      <w:pPr>
        <w:jc w:val="both"/>
      </w:pPr>
      <w:r>
        <w:t>Le budget initial 2021 s’élève pour les dépenses à 97 948 206, 59 euros en AE et 101 604 357, 08 euros en CP et fait apparaitre une prévision de recettes à hauteur de 96 359 592, 50 euros. L’Université connait actuellement une phase de travaux importante du fait l’opération campus. Les travaux se déroulent en site occupé et doivent prendre fin en 2023. La direction des affaires financières comprend le service des achats (environ</w:t>
      </w:r>
      <w:r w:rsidRPr="003540F4">
        <w:t xml:space="preserve"> </w:t>
      </w:r>
      <w:r w:rsidR="00196D97" w:rsidRPr="003540F4">
        <w:t xml:space="preserve">50 </w:t>
      </w:r>
      <w:r>
        <w:t>marchés par an)</w:t>
      </w:r>
    </w:p>
    <w:p w:rsidR="00A17F67" w:rsidRPr="00A17F67" w:rsidRDefault="00A17F67" w:rsidP="004F6432">
      <w:pPr>
        <w:tabs>
          <w:tab w:val="num" w:pos="1440"/>
        </w:tabs>
        <w:jc w:val="both"/>
        <w:rPr>
          <w:rFonts w:cstheme="minorHAnsi"/>
          <w:b/>
          <w:szCs w:val="22"/>
        </w:rPr>
      </w:pPr>
    </w:p>
    <w:p w:rsidR="00144022" w:rsidRPr="00012257" w:rsidRDefault="00144022" w:rsidP="00144022">
      <w:pPr>
        <w:numPr>
          <w:ilvl w:val="1"/>
          <w:numId w:val="1"/>
        </w:numPr>
        <w:tabs>
          <w:tab w:val="num" w:pos="360"/>
        </w:tabs>
        <w:ind w:left="360"/>
        <w:jc w:val="both"/>
        <w:rPr>
          <w:rFonts w:cstheme="minorHAnsi"/>
          <w:b/>
          <w:szCs w:val="22"/>
        </w:rPr>
      </w:pPr>
      <w:r w:rsidRPr="00012257">
        <w:rPr>
          <w:rFonts w:cstheme="minorHAnsi"/>
          <w:b/>
          <w:szCs w:val="22"/>
        </w:rPr>
        <w:t>Missions</w:t>
      </w:r>
    </w:p>
    <w:p w:rsidR="00144022" w:rsidRPr="00012257" w:rsidRDefault="00144022" w:rsidP="00144022">
      <w:pPr>
        <w:rPr>
          <w:rFonts w:ascii="Times New Roman" w:eastAsia="Times New Roman" w:hAnsi="Times New Roman" w:cs="Times New Roman"/>
          <w:szCs w:val="22"/>
          <w:lang w:eastAsia="fr-FR"/>
        </w:rPr>
      </w:pPr>
    </w:p>
    <w:p w:rsidR="0003129D" w:rsidRDefault="00144022" w:rsidP="0003129D">
      <w:pPr>
        <w:jc w:val="both"/>
        <w:rPr>
          <w:rFonts w:eastAsia="Times New Roman" w:cstheme="minorHAnsi"/>
          <w:szCs w:val="22"/>
          <w:lang w:eastAsia="fr-FR"/>
        </w:rPr>
      </w:pPr>
      <w:r w:rsidRPr="00012257">
        <w:rPr>
          <w:rFonts w:eastAsia="Times New Roman" w:cstheme="minorHAnsi"/>
          <w:szCs w:val="22"/>
          <w:lang w:eastAsia="fr-FR"/>
        </w:rPr>
        <w:t xml:space="preserve">Sous l’autorité </w:t>
      </w:r>
      <w:r w:rsidR="00A17F67">
        <w:rPr>
          <w:rFonts w:eastAsia="Times New Roman" w:cstheme="minorHAnsi"/>
          <w:szCs w:val="22"/>
          <w:lang w:eastAsia="fr-FR"/>
        </w:rPr>
        <w:t xml:space="preserve">directe de la </w:t>
      </w:r>
      <w:r w:rsidR="00B56E3B">
        <w:rPr>
          <w:rFonts w:eastAsia="Times New Roman" w:cstheme="minorHAnsi"/>
          <w:szCs w:val="22"/>
          <w:lang w:eastAsia="fr-FR"/>
        </w:rPr>
        <w:t>d</w:t>
      </w:r>
      <w:r w:rsidR="00A17F67">
        <w:rPr>
          <w:rFonts w:eastAsia="Times New Roman" w:cstheme="minorHAnsi"/>
          <w:szCs w:val="22"/>
          <w:lang w:eastAsia="fr-FR"/>
        </w:rPr>
        <w:t>irectrice générale des services</w:t>
      </w:r>
      <w:r w:rsidR="00B56E3B">
        <w:rPr>
          <w:rFonts w:eastAsia="Times New Roman" w:cstheme="minorHAnsi"/>
          <w:szCs w:val="22"/>
          <w:lang w:eastAsia="fr-FR"/>
        </w:rPr>
        <w:t xml:space="preserve"> et en lien étroit avec le vice-président du conseil d’administration,</w:t>
      </w:r>
      <w:r w:rsidR="00A17F67">
        <w:rPr>
          <w:rFonts w:eastAsia="Times New Roman" w:cstheme="minorHAnsi"/>
          <w:szCs w:val="22"/>
          <w:lang w:eastAsia="fr-FR"/>
        </w:rPr>
        <w:t xml:space="preserve"> </w:t>
      </w:r>
      <w:r w:rsidR="00652217">
        <w:rPr>
          <w:rFonts w:eastAsia="Times New Roman" w:cstheme="minorHAnsi"/>
          <w:szCs w:val="22"/>
          <w:lang w:eastAsia="fr-FR"/>
        </w:rPr>
        <w:t>le directeur des affaires financières doit permettre à l’établissement d’appréhender sa situation budgétaire à court et moyen terme</w:t>
      </w:r>
      <w:r w:rsidR="00B56E3B">
        <w:rPr>
          <w:rFonts w:eastAsia="Times New Roman" w:cstheme="minorHAnsi"/>
          <w:szCs w:val="22"/>
          <w:lang w:eastAsia="fr-FR"/>
        </w:rPr>
        <w:t xml:space="preserve"> et </w:t>
      </w:r>
      <w:r w:rsidR="00652217">
        <w:rPr>
          <w:rFonts w:eastAsia="Times New Roman" w:cstheme="minorHAnsi"/>
          <w:szCs w:val="22"/>
          <w:lang w:eastAsia="fr-FR"/>
        </w:rPr>
        <w:t>d’évaluer la soutenabilité de ses activités et projets de façon pluriannuelle.  Le directeur financier concourt à l’élaboration de la politique financière de l’université en lien avec le développement du projet stratégique et en supervise la mise en œuvre.  Il conseille la direction sur la trajectoire financière en veillant à garantir sa soutenabilité et l’équilibre financier global</w:t>
      </w:r>
    </w:p>
    <w:p w:rsidR="0003129D" w:rsidRDefault="0003129D" w:rsidP="0003129D">
      <w:pPr>
        <w:jc w:val="both"/>
        <w:rPr>
          <w:rFonts w:cstheme="minorHAnsi"/>
          <w:b/>
          <w:szCs w:val="22"/>
        </w:rPr>
      </w:pPr>
    </w:p>
    <w:p w:rsidR="0003129D" w:rsidRDefault="0003129D" w:rsidP="0003129D">
      <w:pPr>
        <w:jc w:val="both"/>
        <w:rPr>
          <w:rFonts w:cstheme="minorHAnsi"/>
          <w:b/>
          <w:szCs w:val="22"/>
        </w:rPr>
      </w:pPr>
    </w:p>
    <w:p w:rsidR="00144022" w:rsidRDefault="0003129D" w:rsidP="0003129D">
      <w:pPr>
        <w:jc w:val="both"/>
        <w:rPr>
          <w:rFonts w:cstheme="minorHAnsi"/>
          <w:b/>
          <w:szCs w:val="22"/>
        </w:rPr>
      </w:pPr>
      <w:r>
        <w:rPr>
          <w:rFonts w:cstheme="minorHAnsi"/>
          <w:b/>
          <w:szCs w:val="22"/>
        </w:rPr>
        <w:t>Activités principales</w:t>
      </w:r>
    </w:p>
    <w:p w:rsidR="001873FC" w:rsidRDefault="001873FC" w:rsidP="001873FC">
      <w:pPr>
        <w:tabs>
          <w:tab w:val="num" w:pos="1440"/>
        </w:tabs>
        <w:jc w:val="both"/>
        <w:rPr>
          <w:rFonts w:cstheme="minorHAnsi"/>
          <w:szCs w:val="22"/>
        </w:rPr>
      </w:pPr>
      <w:r w:rsidRPr="001873FC">
        <w:rPr>
          <w:rFonts w:cstheme="minorHAnsi"/>
          <w:szCs w:val="22"/>
        </w:rPr>
        <w:t xml:space="preserve">Conseiller </w:t>
      </w:r>
      <w:r>
        <w:rPr>
          <w:rFonts w:cstheme="minorHAnsi"/>
          <w:szCs w:val="22"/>
        </w:rPr>
        <w:t xml:space="preserve">la gouvernance </w:t>
      </w:r>
      <w:r w:rsidRPr="001873FC">
        <w:rPr>
          <w:rFonts w:cstheme="minorHAnsi"/>
          <w:szCs w:val="22"/>
        </w:rPr>
        <w:t>dans le domaine financier</w:t>
      </w:r>
      <w:r>
        <w:rPr>
          <w:rFonts w:cstheme="minorHAnsi"/>
          <w:szCs w:val="22"/>
        </w:rPr>
        <w:t xml:space="preserve"> et accompagner les cadres et responsables d’enveloppes budgétaires dans leurs activités</w:t>
      </w:r>
    </w:p>
    <w:p w:rsidR="0003129D" w:rsidRDefault="0003129D" w:rsidP="00144022">
      <w:pPr>
        <w:tabs>
          <w:tab w:val="num" w:pos="1440"/>
        </w:tabs>
        <w:jc w:val="both"/>
        <w:rPr>
          <w:rFonts w:eastAsia="Times New Roman" w:cstheme="minorHAnsi"/>
          <w:szCs w:val="22"/>
          <w:lang w:eastAsia="fr-FR"/>
        </w:rPr>
      </w:pPr>
      <w:r>
        <w:rPr>
          <w:rFonts w:eastAsia="Times New Roman" w:cstheme="minorHAnsi"/>
          <w:szCs w:val="22"/>
          <w:lang w:eastAsia="fr-FR"/>
        </w:rPr>
        <w:t>Piloter l’élaboration et le déroulement de la procédure interne de construction du budget et s’assurer de la bonne réalisation des différentes étapes</w:t>
      </w:r>
    </w:p>
    <w:p w:rsidR="0003129D" w:rsidRDefault="0003129D" w:rsidP="0003129D">
      <w:pPr>
        <w:jc w:val="both"/>
        <w:rPr>
          <w:rFonts w:eastAsia="Times New Roman" w:cstheme="minorHAnsi"/>
          <w:szCs w:val="22"/>
          <w:lang w:eastAsia="fr-FR"/>
        </w:rPr>
      </w:pPr>
      <w:r>
        <w:rPr>
          <w:rFonts w:eastAsia="Times New Roman" w:cstheme="minorHAnsi"/>
          <w:szCs w:val="22"/>
          <w:lang w:eastAsia="fr-FR"/>
        </w:rPr>
        <w:lastRenderedPageBreak/>
        <w:t xml:space="preserve">Réaliser des analyses financières rétrospectives et prospectives dans le cadre d’un pilotage infra-annuel, annuel et </w:t>
      </w:r>
      <w:proofErr w:type="spellStart"/>
      <w:r>
        <w:rPr>
          <w:rFonts w:eastAsia="Times New Roman" w:cstheme="minorHAnsi"/>
          <w:szCs w:val="22"/>
          <w:lang w:eastAsia="fr-FR"/>
        </w:rPr>
        <w:t>pluri-annuel</w:t>
      </w:r>
      <w:proofErr w:type="spellEnd"/>
      <w:r>
        <w:rPr>
          <w:rFonts w:eastAsia="Times New Roman" w:cstheme="minorHAnsi"/>
          <w:szCs w:val="22"/>
          <w:lang w:eastAsia="fr-FR"/>
        </w:rPr>
        <w:t xml:space="preserve">. </w:t>
      </w:r>
    </w:p>
    <w:p w:rsidR="00744E2A" w:rsidRPr="003540F4" w:rsidRDefault="00744E2A" w:rsidP="0003129D">
      <w:pPr>
        <w:jc w:val="both"/>
        <w:rPr>
          <w:rFonts w:eastAsia="Times New Roman" w:cstheme="minorHAnsi"/>
          <w:szCs w:val="22"/>
          <w:lang w:eastAsia="fr-FR"/>
        </w:rPr>
      </w:pPr>
      <w:r w:rsidRPr="003540F4">
        <w:rPr>
          <w:rFonts w:eastAsia="Times New Roman" w:cstheme="minorHAnsi"/>
          <w:szCs w:val="22"/>
          <w:lang w:eastAsia="fr-FR"/>
        </w:rPr>
        <w:t xml:space="preserve">Suivre l’exécution du budget et, en lien avec l’agent comptable, conduire les opérations de </w:t>
      </w:r>
      <w:r w:rsidR="00822095" w:rsidRPr="003540F4">
        <w:rPr>
          <w:rFonts w:eastAsia="Times New Roman" w:cstheme="minorHAnsi"/>
          <w:szCs w:val="22"/>
          <w:lang w:eastAsia="fr-FR"/>
        </w:rPr>
        <w:t>clôture puis préparer le rapport de gestion de l’ordonnateur.</w:t>
      </w:r>
    </w:p>
    <w:p w:rsidR="00744E2A" w:rsidRPr="003540F4" w:rsidRDefault="00196D97" w:rsidP="0003129D">
      <w:pPr>
        <w:jc w:val="both"/>
        <w:rPr>
          <w:rFonts w:eastAsia="Times New Roman" w:cstheme="minorHAnsi"/>
          <w:szCs w:val="22"/>
          <w:lang w:eastAsia="fr-FR"/>
        </w:rPr>
      </w:pPr>
      <w:r w:rsidRPr="003540F4">
        <w:rPr>
          <w:rFonts w:eastAsia="Times New Roman" w:cstheme="minorHAnsi"/>
          <w:szCs w:val="22"/>
          <w:lang w:eastAsia="fr-FR"/>
        </w:rPr>
        <w:t>Participer à la définition, à la programmation et à la panification de la politique achats</w:t>
      </w:r>
      <w:r w:rsidR="0063119C" w:rsidRPr="003540F4">
        <w:rPr>
          <w:rFonts w:eastAsia="Times New Roman" w:cstheme="minorHAnsi"/>
          <w:szCs w:val="22"/>
          <w:lang w:eastAsia="fr-FR"/>
        </w:rPr>
        <w:t>.</w:t>
      </w:r>
    </w:p>
    <w:p w:rsidR="0003129D" w:rsidRPr="003540F4" w:rsidRDefault="0003129D" w:rsidP="0003129D">
      <w:pPr>
        <w:jc w:val="both"/>
        <w:rPr>
          <w:rFonts w:eastAsia="Times New Roman" w:cstheme="minorHAnsi"/>
          <w:szCs w:val="22"/>
          <w:lang w:eastAsia="fr-FR"/>
        </w:rPr>
      </w:pPr>
      <w:r w:rsidRPr="003540F4">
        <w:rPr>
          <w:rFonts w:eastAsia="Times New Roman" w:cstheme="minorHAnsi"/>
          <w:szCs w:val="22"/>
          <w:lang w:eastAsia="fr-FR"/>
        </w:rPr>
        <w:t xml:space="preserve">Encadrer les personnels de sa direction </w:t>
      </w:r>
      <w:r w:rsidR="00196D97" w:rsidRPr="003540F4">
        <w:rPr>
          <w:rFonts w:eastAsia="Times New Roman" w:cstheme="minorHAnsi"/>
          <w:szCs w:val="22"/>
          <w:lang w:eastAsia="fr-FR"/>
        </w:rPr>
        <w:t xml:space="preserve">composée de 2 pôles (budget et achats) </w:t>
      </w:r>
      <w:r w:rsidRPr="003540F4">
        <w:rPr>
          <w:rFonts w:eastAsia="Times New Roman" w:cstheme="minorHAnsi"/>
          <w:szCs w:val="22"/>
          <w:lang w:eastAsia="fr-FR"/>
        </w:rPr>
        <w:t>et animer le réseau des acteurs financiers</w:t>
      </w:r>
      <w:r w:rsidR="0055670F" w:rsidRPr="003540F4">
        <w:rPr>
          <w:rFonts w:eastAsia="Times New Roman" w:cstheme="minorHAnsi"/>
          <w:szCs w:val="22"/>
          <w:lang w:eastAsia="fr-FR"/>
        </w:rPr>
        <w:t xml:space="preserve"> et des correspondants achats</w:t>
      </w:r>
      <w:r w:rsidRPr="003540F4">
        <w:rPr>
          <w:rFonts w:eastAsia="Times New Roman" w:cstheme="minorHAnsi"/>
          <w:szCs w:val="22"/>
          <w:lang w:eastAsia="fr-FR"/>
        </w:rPr>
        <w:t xml:space="preserve"> de l’université. </w:t>
      </w:r>
    </w:p>
    <w:p w:rsidR="00744E2A" w:rsidRPr="003540F4" w:rsidRDefault="00744E2A" w:rsidP="0003129D">
      <w:pPr>
        <w:jc w:val="both"/>
        <w:rPr>
          <w:rFonts w:eastAsia="Times New Roman" w:cstheme="minorHAnsi"/>
          <w:szCs w:val="22"/>
          <w:lang w:eastAsia="fr-FR"/>
        </w:rPr>
      </w:pPr>
      <w:r w:rsidRPr="003540F4">
        <w:rPr>
          <w:rFonts w:eastAsia="Times New Roman" w:cstheme="minorHAnsi"/>
          <w:szCs w:val="22"/>
          <w:lang w:eastAsia="fr-FR"/>
        </w:rPr>
        <w:t xml:space="preserve">Moderniser et optimiser les processus financiers notamment en </w:t>
      </w:r>
      <w:r w:rsidR="00DB1E97" w:rsidRPr="003540F4">
        <w:rPr>
          <w:rFonts w:eastAsia="Times New Roman" w:cstheme="minorHAnsi"/>
          <w:szCs w:val="22"/>
          <w:lang w:eastAsia="fr-FR"/>
        </w:rPr>
        <w:t>facilitant l’adaptation de l’établissement aux évolutions organisationnelles et fonctionnelles.</w:t>
      </w:r>
    </w:p>
    <w:p w:rsidR="00196D97" w:rsidRPr="003540F4" w:rsidRDefault="00196D97" w:rsidP="0003129D">
      <w:pPr>
        <w:jc w:val="both"/>
        <w:rPr>
          <w:rFonts w:eastAsia="Times New Roman" w:cstheme="minorHAnsi"/>
          <w:szCs w:val="22"/>
          <w:lang w:eastAsia="fr-FR"/>
        </w:rPr>
      </w:pPr>
      <w:r w:rsidRPr="003540F4">
        <w:rPr>
          <w:rFonts w:eastAsia="Times New Roman" w:cstheme="minorHAnsi"/>
          <w:szCs w:val="22"/>
          <w:lang w:eastAsia="fr-FR"/>
        </w:rPr>
        <w:t>Participer au contrôle interne budgétaire.</w:t>
      </w:r>
    </w:p>
    <w:p w:rsidR="0003129D" w:rsidRPr="003540F4" w:rsidRDefault="0003129D" w:rsidP="0003129D">
      <w:pPr>
        <w:jc w:val="both"/>
        <w:rPr>
          <w:rFonts w:eastAsia="Times New Roman" w:cstheme="minorHAnsi"/>
          <w:szCs w:val="22"/>
          <w:lang w:eastAsia="fr-FR"/>
        </w:rPr>
      </w:pPr>
      <w:r w:rsidRPr="003540F4">
        <w:rPr>
          <w:rFonts w:eastAsia="Times New Roman" w:cstheme="minorHAnsi"/>
          <w:szCs w:val="22"/>
          <w:lang w:eastAsia="fr-FR"/>
        </w:rPr>
        <w:t xml:space="preserve">Assurer le lien avec l’ensemble des directions de l’université et notamment avec la DRH, </w:t>
      </w:r>
      <w:r w:rsidR="00DB1E97" w:rsidRPr="003540F4">
        <w:rPr>
          <w:rFonts w:eastAsia="Times New Roman" w:cstheme="minorHAnsi"/>
          <w:szCs w:val="22"/>
          <w:lang w:eastAsia="fr-FR"/>
        </w:rPr>
        <w:t xml:space="preserve">la cellule d’aide au pilotage, </w:t>
      </w:r>
      <w:r w:rsidRPr="003540F4">
        <w:rPr>
          <w:rFonts w:eastAsia="Times New Roman" w:cstheme="minorHAnsi"/>
          <w:szCs w:val="22"/>
          <w:lang w:eastAsia="fr-FR"/>
        </w:rPr>
        <w:t xml:space="preserve">la direction du patrimoine et l’agence comptable. </w:t>
      </w:r>
    </w:p>
    <w:p w:rsidR="0003129D" w:rsidRPr="003540F4" w:rsidRDefault="0003129D" w:rsidP="0003129D">
      <w:pPr>
        <w:jc w:val="both"/>
        <w:rPr>
          <w:rFonts w:eastAsia="Times New Roman" w:cstheme="minorHAnsi"/>
          <w:szCs w:val="22"/>
          <w:lang w:eastAsia="fr-FR"/>
        </w:rPr>
      </w:pPr>
      <w:r w:rsidRPr="003540F4">
        <w:rPr>
          <w:rFonts w:eastAsia="Times New Roman" w:cstheme="minorHAnsi"/>
          <w:szCs w:val="22"/>
          <w:lang w:eastAsia="fr-FR"/>
        </w:rPr>
        <w:t xml:space="preserve">Assurer la veille juridique de son secteur professionnel. </w:t>
      </w:r>
    </w:p>
    <w:p w:rsidR="0003129D" w:rsidRPr="004F6432" w:rsidRDefault="00196D97" w:rsidP="0003129D">
      <w:pPr>
        <w:jc w:val="both"/>
        <w:rPr>
          <w:rFonts w:eastAsia="Times New Roman" w:cstheme="minorHAnsi"/>
          <w:szCs w:val="22"/>
          <w:lang w:eastAsia="fr-FR"/>
        </w:rPr>
      </w:pPr>
      <w:r w:rsidRPr="003540F4">
        <w:rPr>
          <w:rFonts w:eastAsia="Times New Roman" w:cstheme="minorHAnsi"/>
          <w:szCs w:val="22"/>
          <w:lang w:eastAsia="fr-FR"/>
        </w:rPr>
        <w:t>Être</w:t>
      </w:r>
      <w:r w:rsidR="0003129D" w:rsidRPr="003540F4">
        <w:rPr>
          <w:rFonts w:eastAsia="Times New Roman" w:cstheme="minorHAnsi"/>
          <w:szCs w:val="22"/>
          <w:lang w:eastAsia="fr-FR"/>
        </w:rPr>
        <w:t xml:space="preserve"> l’interlocuteur privilégié des partenaires de l’établissement</w:t>
      </w:r>
      <w:r w:rsidR="0003129D">
        <w:rPr>
          <w:rFonts w:eastAsia="Times New Roman" w:cstheme="minorHAnsi"/>
          <w:szCs w:val="22"/>
          <w:lang w:eastAsia="fr-FR"/>
        </w:rPr>
        <w:t xml:space="preserve">, rectorat, ministère, commissaires aux comptes </w:t>
      </w:r>
    </w:p>
    <w:p w:rsidR="0003129D" w:rsidRDefault="0003129D" w:rsidP="00144022">
      <w:pPr>
        <w:tabs>
          <w:tab w:val="num" w:pos="1440"/>
        </w:tabs>
        <w:jc w:val="both"/>
        <w:rPr>
          <w:rFonts w:cstheme="minorHAnsi"/>
          <w:b/>
          <w:szCs w:val="22"/>
        </w:rPr>
      </w:pPr>
    </w:p>
    <w:p w:rsidR="0003129D" w:rsidRDefault="0003129D" w:rsidP="00144022">
      <w:pPr>
        <w:tabs>
          <w:tab w:val="num" w:pos="1440"/>
        </w:tabs>
        <w:jc w:val="both"/>
        <w:rPr>
          <w:rFonts w:cstheme="minorHAnsi"/>
          <w:b/>
          <w:szCs w:val="22"/>
        </w:rPr>
      </w:pPr>
    </w:p>
    <w:p w:rsidR="00144022" w:rsidRPr="00012257" w:rsidRDefault="00144022" w:rsidP="00144022">
      <w:pPr>
        <w:tabs>
          <w:tab w:val="num" w:pos="1440"/>
        </w:tabs>
        <w:jc w:val="both"/>
        <w:rPr>
          <w:rFonts w:cstheme="minorHAnsi"/>
          <w:b/>
          <w:szCs w:val="22"/>
        </w:rPr>
      </w:pPr>
      <w:r w:rsidRPr="00012257">
        <w:rPr>
          <w:rFonts w:cstheme="minorHAnsi"/>
          <w:b/>
          <w:szCs w:val="22"/>
        </w:rPr>
        <w:t xml:space="preserve">Connaissances </w:t>
      </w:r>
    </w:p>
    <w:p w:rsidR="004D2040" w:rsidRDefault="004D2040" w:rsidP="00144022">
      <w:pPr>
        <w:spacing w:before="120"/>
        <w:jc w:val="both"/>
        <w:rPr>
          <w:rFonts w:cstheme="minorHAnsi"/>
          <w:szCs w:val="22"/>
        </w:rPr>
      </w:pPr>
      <w:r>
        <w:rPr>
          <w:rFonts w:cstheme="minorHAnsi"/>
          <w:szCs w:val="22"/>
        </w:rPr>
        <w:t xml:space="preserve">Maitrise de la gestion </w:t>
      </w:r>
      <w:r w:rsidRPr="00822095">
        <w:rPr>
          <w:rFonts w:cstheme="minorHAnsi"/>
          <w:szCs w:val="22"/>
        </w:rPr>
        <w:t>financière et budgétaire</w:t>
      </w:r>
      <w:r>
        <w:rPr>
          <w:rFonts w:cstheme="minorHAnsi"/>
          <w:szCs w:val="22"/>
        </w:rPr>
        <w:t xml:space="preserve"> publique</w:t>
      </w:r>
      <w:r w:rsidRPr="00822095">
        <w:rPr>
          <w:rFonts w:cstheme="minorHAnsi"/>
          <w:szCs w:val="22"/>
        </w:rPr>
        <w:t>, notamment</w:t>
      </w:r>
      <w:r w:rsidR="0063119C">
        <w:rPr>
          <w:rFonts w:cstheme="minorHAnsi"/>
          <w:szCs w:val="22"/>
        </w:rPr>
        <w:t xml:space="preserve"> </w:t>
      </w:r>
      <w:r>
        <w:rPr>
          <w:rFonts w:cstheme="minorHAnsi"/>
          <w:szCs w:val="22"/>
        </w:rPr>
        <w:t xml:space="preserve">les règles relatives à la commande publique </w:t>
      </w:r>
    </w:p>
    <w:p w:rsidR="004D2040" w:rsidRDefault="004D2040" w:rsidP="00144022">
      <w:pPr>
        <w:spacing w:before="120"/>
        <w:jc w:val="both"/>
        <w:rPr>
          <w:rFonts w:cstheme="minorHAnsi"/>
          <w:szCs w:val="22"/>
        </w:rPr>
      </w:pPr>
      <w:r>
        <w:rPr>
          <w:rFonts w:cstheme="minorHAnsi"/>
          <w:szCs w:val="22"/>
        </w:rPr>
        <w:t>Ma</w:t>
      </w:r>
      <w:r w:rsidR="00A574EA">
        <w:rPr>
          <w:rFonts w:cstheme="minorHAnsi"/>
          <w:szCs w:val="22"/>
        </w:rPr>
        <w:t>i</w:t>
      </w:r>
      <w:r>
        <w:rPr>
          <w:rFonts w:cstheme="minorHAnsi"/>
          <w:szCs w:val="22"/>
        </w:rPr>
        <w:t xml:space="preserve">trise en matière de contrôle de gestion, de </w:t>
      </w:r>
      <w:proofErr w:type="spellStart"/>
      <w:r>
        <w:rPr>
          <w:rFonts w:cstheme="minorHAnsi"/>
          <w:szCs w:val="22"/>
        </w:rPr>
        <w:t>reporting</w:t>
      </w:r>
      <w:proofErr w:type="spellEnd"/>
      <w:r>
        <w:rPr>
          <w:rFonts w:cstheme="minorHAnsi"/>
          <w:szCs w:val="22"/>
        </w:rPr>
        <w:t xml:space="preserve"> et d’analyse financière</w:t>
      </w:r>
    </w:p>
    <w:p w:rsidR="004D2040" w:rsidRDefault="004D2040" w:rsidP="00144022">
      <w:pPr>
        <w:spacing w:before="120"/>
        <w:jc w:val="both"/>
        <w:rPr>
          <w:rFonts w:cstheme="minorHAnsi"/>
          <w:szCs w:val="22"/>
        </w:rPr>
      </w:pPr>
      <w:r>
        <w:rPr>
          <w:rFonts w:cstheme="minorHAnsi"/>
          <w:szCs w:val="22"/>
        </w:rPr>
        <w:t>Connaissance approfondie du fonctionnement des établissements de l’ESR</w:t>
      </w:r>
    </w:p>
    <w:p w:rsidR="004D2040" w:rsidRDefault="004D2040" w:rsidP="00144022">
      <w:pPr>
        <w:spacing w:before="120"/>
        <w:jc w:val="both"/>
        <w:rPr>
          <w:rFonts w:cstheme="minorHAnsi"/>
          <w:szCs w:val="22"/>
        </w:rPr>
      </w:pPr>
      <w:r>
        <w:rPr>
          <w:rFonts w:cstheme="minorHAnsi"/>
          <w:szCs w:val="22"/>
        </w:rPr>
        <w:t>Connaissance de la réglementation relative à la fiscalité</w:t>
      </w:r>
    </w:p>
    <w:p w:rsidR="00A3728B" w:rsidRDefault="003B3913" w:rsidP="00144022">
      <w:pPr>
        <w:spacing w:before="120"/>
        <w:jc w:val="both"/>
        <w:rPr>
          <w:rFonts w:cstheme="minorHAnsi"/>
          <w:szCs w:val="22"/>
        </w:rPr>
      </w:pPr>
      <w:r>
        <w:rPr>
          <w:rFonts w:cstheme="minorHAnsi"/>
          <w:szCs w:val="22"/>
        </w:rPr>
        <w:t>Connaissance des s</w:t>
      </w:r>
      <w:r w:rsidR="00A3728B">
        <w:rPr>
          <w:rFonts w:cstheme="minorHAnsi"/>
          <w:szCs w:val="22"/>
        </w:rPr>
        <w:t>ystèmes d’information budgétaires et financiers</w:t>
      </w:r>
    </w:p>
    <w:p w:rsidR="0003129D" w:rsidRDefault="00112E6B" w:rsidP="00144022">
      <w:pPr>
        <w:spacing w:before="120"/>
        <w:jc w:val="both"/>
        <w:rPr>
          <w:rFonts w:cstheme="minorHAnsi"/>
          <w:szCs w:val="22"/>
        </w:rPr>
      </w:pPr>
      <w:r>
        <w:rPr>
          <w:rFonts w:cstheme="minorHAnsi"/>
          <w:szCs w:val="22"/>
        </w:rPr>
        <w:t>Connaissance des techniques d‘information et de communication interne et externe</w:t>
      </w:r>
    </w:p>
    <w:p w:rsidR="0003129D" w:rsidRDefault="0003129D" w:rsidP="0003129D">
      <w:pPr>
        <w:tabs>
          <w:tab w:val="num" w:pos="1440"/>
        </w:tabs>
        <w:jc w:val="both"/>
        <w:rPr>
          <w:rFonts w:cstheme="minorHAnsi"/>
          <w:szCs w:val="22"/>
        </w:rPr>
      </w:pPr>
      <w:r>
        <w:rPr>
          <w:rFonts w:cstheme="minorHAnsi"/>
          <w:szCs w:val="22"/>
        </w:rPr>
        <w:t xml:space="preserve">Maîtrise du pilotage de projets </w:t>
      </w:r>
    </w:p>
    <w:p w:rsidR="00A3728B" w:rsidRDefault="00112E6B" w:rsidP="00144022">
      <w:pPr>
        <w:spacing w:before="120"/>
        <w:jc w:val="both"/>
        <w:rPr>
          <w:rFonts w:cstheme="minorHAnsi"/>
          <w:szCs w:val="22"/>
        </w:rPr>
      </w:pPr>
      <w:r>
        <w:rPr>
          <w:rFonts w:cstheme="minorHAnsi"/>
          <w:szCs w:val="22"/>
        </w:rPr>
        <w:t>Connaissance du d</w:t>
      </w:r>
      <w:r w:rsidR="00A3728B">
        <w:rPr>
          <w:rFonts w:cstheme="minorHAnsi"/>
          <w:szCs w:val="22"/>
        </w:rPr>
        <w:t>roit public</w:t>
      </w:r>
    </w:p>
    <w:p w:rsidR="00A3728B" w:rsidRPr="00012257" w:rsidRDefault="00A574EA" w:rsidP="00144022">
      <w:pPr>
        <w:spacing w:before="120"/>
        <w:jc w:val="both"/>
        <w:rPr>
          <w:rFonts w:cstheme="minorHAnsi"/>
          <w:szCs w:val="22"/>
        </w:rPr>
      </w:pPr>
      <w:r>
        <w:rPr>
          <w:rFonts w:cstheme="minorHAnsi"/>
          <w:szCs w:val="22"/>
        </w:rPr>
        <w:t xml:space="preserve">Connaissance de la réglementation relative à </w:t>
      </w:r>
      <w:r w:rsidR="00507D48">
        <w:rPr>
          <w:rFonts w:cstheme="minorHAnsi"/>
          <w:szCs w:val="22"/>
        </w:rPr>
        <w:t>l</w:t>
      </w:r>
      <w:r>
        <w:rPr>
          <w:rFonts w:cstheme="minorHAnsi"/>
          <w:szCs w:val="22"/>
        </w:rPr>
        <w:t>a maitrise des risques et plus particulièrement du contrôle interne budgétaire</w:t>
      </w:r>
    </w:p>
    <w:p w:rsidR="0003129D" w:rsidRPr="00012257" w:rsidRDefault="0003129D" w:rsidP="00144022">
      <w:pPr>
        <w:rPr>
          <w:rFonts w:cstheme="minorHAnsi"/>
          <w:szCs w:val="22"/>
        </w:rPr>
      </w:pPr>
    </w:p>
    <w:p w:rsidR="00144022" w:rsidRDefault="00144022" w:rsidP="00144022">
      <w:pPr>
        <w:spacing w:before="120"/>
        <w:jc w:val="both"/>
        <w:rPr>
          <w:rFonts w:cstheme="minorHAnsi"/>
          <w:b/>
          <w:szCs w:val="22"/>
        </w:rPr>
      </w:pPr>
      <w:r w:rsidRPr="00012257">
        <w:rPr>
          <w:rFonts w:cstheme="minorHAnsi"/>
          <w:b/>
          <w:szCs w:val="22"/>
        </w:rPr>
        <w:t>Compétences comportementales</w:t>
      </w:r>
    </w:p>
    <w:p w:rsidR="00144022" w:rsidRDefault="001873FC" w:rsidP="00144022">
      <w:pPr>
        <w:rPr>
          <w:rFonts w:cstheme="minorHAnsi"/>
          <w:szCs w:val="22"/>
        </w:rPr>
      </w:pPr>
      <w:r>
        <w:rPr>
          <w:rFonts w:cstheme="minorHAnsi"/>
          <w:szCs w:val="22"/>
        </w:rPr>
        <w:t>Capacité d’analyse et de synthèse</w:t>
      </w:r>
    </w:p>
    <w:p w:rsidR="001873FC" w:rsidRDefault="001873FC" w:rsidP="00144022">
      <w:pPr>
        <w:rPr>
          <w:rFonts w:cstheme="minorHAnsi"/>
          <w:szCs w:val="22"/>
        </w:rPr>
      </w:pPr>
      <w:r>
        <w:rPr>
          <w:rFonts w:cstheme="minorHAnsi"/>
          <w:szCs w:val="22"/>
        </w:rPr>
        <w:t>Diplomatie, sens de l’initiative et capacité à être force de propositions</w:t>
      </w:r>
    </w:p>
    <w:p w:rsidR="001873FC" w:rsidRDefault="001873FC" w:rsidP="00144022">
      <w:pPr>
        <w:rPr>
          <w:rFonts w:cstheme="minorHAnsi"/>
          <w:szCs w:val="22"/>
        </w:rPr>
      </w:pPr>
      <w:r>
        <w:rPr>
          <w:rFonts w:cstheme="minorHAnsi"/>
          <w:szCs w:val="22"/>
        </w:rPr>
        <w:t>Sens de la rigueur dans les méthodes de travail</w:t>
      </w:r>
    </w:p>
    <w:p w:rsidR="001873FC" w:rsidRDefault="001873FC" w:rsidP="00144022">
      <w:pPr>
        <w:rPr>
          <w:rFonts w:cstheme="minorHAnsi"/>
          <w:szCs w:val="22"/>
        </w:rPr>
      </w:pPr>
      <w:r>
        <w:rPr>
          <w:rFonts w:cstheme="minorHAnsi"/>
          <w:szCs w:val="22"/>
        </w:rPr>
        <w:t xml:space="preserve">Goût affirmé pour le travail en équipe </w:t>
      </w:r>
    </w:p>
    <w:p w:rsidR="001873FC" w:rsidRDefault="001873FC" w:rsidP="00144022">
      <w:pPr>
        <w:rPr>
          <w:rFonts w:cstheme="minorHAnsi"/>
          <w:szCs w:val="22"/>
        </w:rPr>
      </w:pPr>
      <w:r>
        <w:rPr>
          <w:rFonts w:cstheme="minorHAnsi"/>
          <w:szCs w:val="22"/>
        </w:rPr>
        <w:t>Capacité d’adaptation et d’assimilation des enjeux et du contexte propre à chaque établissement</w:t>
      </w:r>
    </w:p>
    <w:p w:rsidR="001873FC" w:rsidRPr="00012257" w:rsidRDefault="001873FC" w:rsidP="00144022">
      <w:pPr>
        <w:rPr>
          <w:rFonts w:cstheme="minorHAnsi"/>
          <w:szCs w:val="22"/>
        </w:rPr>
      </w:pPr>
      <w:r>
        <w:rPr>
          <w:rFonts w:cstheme="minorHAnsi"/>
          <w:szCs w:val="22"/>
        </w:rPr>
        <w:t xml:space="preserve">Capacité à l’actualisation de ses connaissances professionnelles </w:t>
      </w:r>
    </w:p>
    <w:p w:rsidR="00144022" w:rsidRDefault="00144022" w:rsidP="00144022">
      <w:pPr>
        <w:rPr>
          <w:szCs w:val="22"/>
        </w:rPr>
      </w:pPr>
    </w:p>
    <w:p w:rsidR="00114BBF" w:rsidRDefault="00114BBF"/>
    <w:sectPr w:rsidR="00114BBF" w:rsidSect="00242B48">
      <w:headerReference w:type="default" r:id="rId8"/>
      <w:footerReference w:type="default" r:id="rId9"/>
      <w:headerReference w:type="first" r:id="rId10"/>
      <w:footerReference w:type="first" r:id="rId11"/>
      <w:pgSz w:w="11900" w:h="16840" w:code="9"/>
      <w:pgMar w:top="3281" w:right="560" w:bottom="1702" w:left="2127" w:header="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B53" w:rsidRDefault="00950B53">
      <w:r>
        <w:separator/>
      </w:r>
    </w:p>
  </w:endnote>
  <w:endnote w:type="continuationSeparator" w:id="0">
    <w:p w:rsidR="00950B53" w:rsidRDefault="0095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92" w:rsidRDefault="006F7551" w:rsidP="00324840">
    <w:pPr>
      <w:pStyle w:val="Pieddepage"/>
      <w:ind w:left="-851"/>
    </w:pPr>
    <w:r>
      <w:rPr>
        <w:noProof/>
        <w:lang w:eastAsia="fr-FR"/>
      </w:rPr>
      <mc:AlternateContent>
        <mc:Choice Requires="wps">
          <w:drawing>
            <wp:anchor distT="0" distB="0" distL="114300" distR="114300" simplePos="0" relativeHeight="251660288" behindDoc="0" locked="0" layoutInCell="1" allowOverlap="1" wp14:anchorId="06073FD3" wp14:editId="5F28307C">
              <wp:simplePos x="0" y="0"/>
              <wp:positionH relativeFrom="page">
                <wp:posOffset>514985</wp:posOffset>
              </wp:positionH>
              <wp:positionV relativeFrom="page">
                <wp:posOffset>9663430</wp:posOffset>
              </wp:positionV>
              <wp:extent cx="3401695" cy="626110"/>
              <wp:effectExtent l="0" t="0" r="8255" b="254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6261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4F92" w:rsidRPr="004B0F6D" w:rsidRDefault="006F7551" w:rsidP="004361F7">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A94F92" w:rsidRPr="004B0F6D" w:rsidRDefault="006F7551" w:rsidP="004361F7">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A94F92" w:rsidRPr="004B0F6D" w:rsidRDefault="006F7551" w:rsidP="004361F7">
                          <w:pPr>
                            <w:pStyle w:val="Paragraphestandard"/>
                            <w:spacing w:line="240" w:lineRule="auto"/>
                            <w:rPr>
                              <w:rFonts w:asciiTheme="majorHAnsi" w:hAnsiTheme="majorHAnsi" w:cs="Calibri"/>
                              <w:sz w:val="16"/>
                              <w:szCs w:val="16"/>
                            </w:rPr>
                          </w:pPr>
                          <w:proofErr w:type="gramStart"/>
                          <w:r w:rsidRPr="004B0F6D">
                            <w:rPr>
                              <w:rFonts w:asciiTheme="majorHAnsi" w:hAnsiTheme="majorHAnsi" w:cs="Calibri"/>
                              <w:sz w:val="16"/>
                              <w:szCs w:val="16"/>
                            </w:rPr>
                            <w:t>tél</w:t>
                          </w:r>
                          <w:proofErr w:type="gramEnd"/>
                          <w:r w:rsidRPr="004B0F6D">
                            <w:rPr>
                              <w:rFonts w:asciiTheme="majorHAnsi" w:hAnsiTheme="majorHAnsi" w:cs="Calibri"/>
                              <w:sz w:val="16"/>
                              <w:szCs w:val="16"/>
                            </w:rPr>
                            <w:t xml:space="preserve"> : +33 (0)5 57 12 44 44</w:t>
                          </w:r>
                        </w:p>
                        <w:p w:rsidR="00A94F92" w:rsidRPr="004B0F6D" w:rsidRDefault="006F7551" w:rsidP="004361F7">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73FD3" id="_x0000_t202" coordsize="21600,21600" o:spt="202" path="m,l,21600r21600,l21600,xe">
              <v:stroke joinstyle="miter"/>
              <v:path gradientshapeok="t" o:connecttype="rect"/>
            </v:shapetype>
            <v:shape id="Text Box 8" o:spid="_x0000_s1026" type="#_x0000_t202" style="position:absolute;left:0;text-align:left;margin-left:40.55pt;margin-top:760.9pt;width:267.85pt;height:4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" filled="f" stroked="f">
              <v:textbox inset="0,0,0,0">
                <w:txbxContent>
                  <w:p w:rsidR="00A94F92" w:rsidRPr="004B0F6D" w:rsidRDefault="006F7551" w:rsidP="004361F7">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A94F92" w:rsidRPr="004B0F6D" w:rsidRDefault="006F7551" w:rsidP="004361F7">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A94F92" w:rsidRPr="004B0F6D" w:rsidRDefault="006F7551" w:rsidP="004361F7">
                    <w:pPr>
                      <w:pStyle w:val="Paragraphestandard"/>
                      <w:spacing w:line="240" w:lineRule="auto"/>
                      <w:rPr>
                        <w:rFonts w:asciiTheme="majorHAnsi" w:hAnsiTheme="majorHAnsi" w:cs="Calibri"/>
                        <w:sz w:val="16"/>
                        <w:szCs w:val="16"/>
                      </w:rPr>
                    </w:pPr>
                    <w:proofErr w:type="gramStart"/>
                    <w:r w:rsidRPr="004B0F6D">
                      <w:rPr>
                        <w:rFonts w:asciiTheme="majorHAnsi" w:hAnsiTheme="majorHAnsi" w:cs="Calibri"/>
                        <w:sz w:val="16"/>
                        <w:szCs w:val="16"/>
                      </w:rPr>
                      <w:t>tél</w:t>
                    </w:r>
                    <w:proofErr w:type="gramEnd"/>
                    <w:r w:rsidRPr="004B0F6D">
                      <w:rPr>
                        <w:rFonts w:asciiTheme="majorHAnsi" w:hAnsiTheme="majorHAnsi" w:cs="Calibri"/>
                        <w:sz w:val="16"/>
                        <w:szCs w:val="16"/>
                      </w:rPr>
                      <w:t xml:space="preserve"> : +33 (0)5 57 12 44 44</w:t>
                    </w:r>
                  </w:p>
                  <w:p w:rsidR="00A94F92" w:rsidRPr="004B0F6D" w:rsidRDefault="006F7551" w:rsidP="004361F7">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92" w:rsidRDefault="006F7551">
    <w:pPr>
      <w:pStyle w:val="Pieddepage"/>
    </w:pPr>
    <w:r>
      <w:rPr>
        <w:noProof/>
        <w:lang w:eastAsia="fr-FR"/>
      </w:rPr>
      <mc:AlternateContent>
        <mc:Choice Requires="wps">
          <w:drawing>
            <wp:anchor distT="0" distB="0" distL="114300" distR="114300" simplePos="0" relativeHeight="251659264" behindDoc="0" locked="1" layoutInCell="1" allowOverlap="0" wp14:anchorId="55D6BBEB" wp14:editId="29F40947">
              <wp:simplePos x="0" y="0"/>
              <wp:positionH relativeFrom="page">
                <wp:posOffset>514985</wp:posOffset>
              </wp:positionH>
              <wp:positionV relativeFrom="page">
                <wp:posOffset>9663430</wp:posOffset>
              </wp:positionV>
              <wp:extent cx="3088640" cy="626110"/>
              <wp:effectExtent l="0" t="0" r="16510" b="25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6261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4F92" w:rsidRPr="004B0F6D" w:rsidRDefault="006F7551" w:rsidP="007B723A">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A94F92" w:rsidRPr="004B0F6D" w:rsidRDefault="006F7551" w:rsidP="007B723A">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A94F92" w:rsidRPr="004B0F6D" w:rsidRDefault="006F7551" w:rsidP="007B723A">
                          <w:pPr>
                            <w:pStyle w:val="Paragraphestandard"/>
                            <w:spacing w:line="240" w:lineRule="auto"/>
                            <w:rPr>
                              <w:rFonts w:asciiTheme="majorHAnsi" w:hAnsiTheme="majorHAnsi" w:cs="Calibri"/>
                              <w:sz w:val="16"/>
                              <w:szCs w:val="16"/>
                            </w:rPr>
                          </w:pPr>
                          <w:proofErr w:type="gramStart"/>
                          <w:r w:rsidRPr="004B0F6D">
                            <w:rPr>
                              <w:rFonts w:asciiTheme="majorHAnsi" w:hAnsiTheme="majorHAnsi" w:cs="Calibri"/>
                              <w:sz w:val="16"/>
                              <w:szCs w:val="16"/>
                            </w:rPr>
                            <w:t>tél</w:t>
                          </w:r>
                          <w:proofErr w:type="gramEnd"/>
                          <w:r w:rsidRPr="004B0F6D">
                            <w:rPr>
                              <w:rFonts w:asciiTheme="majorHAnsi" w:hAnsiTheme="majorHAnsi" w:cs="Calibri"/>
                              <w:sz w:val="16"/>
                              <w:szCs w:val="16"/>
                            </w:rPr>
                            <w:t xml:space="preserve"> : +33 (0)5 57 12 44 44</w:t>
                          </w:r>
                        </w:p>
                        <w:p w:rsidR="00A94F92" w:rsidRPr="004B0F6D" w:rsidRDefault="006F7551" w:rsidP="007B723A">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6BBEB" id="_x0000_t202" coordsize="21600,21600" o:spt="202" path="m,l,21600r21600,l21600,xe">
              <v:stroke joinstyle="miter"/>
              <v:path gradientshapeok="t" o:connecttype="rect"/>
            </v:shapetype>
            <v:shape id="_x0000_s1027" type="#_x0000_t202" style="position:absolute;margin-left:40.55pt;margin-top:760.9pt;width:243.2pt;height:4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" o:allowoverlap="f" filled="f" stroked="f">
              <v:textbox inset="0,0,0,0">
                <w:txbxContent>
                  <w:p w:rsidR="00A94F92" w:rsidRPr="004B0F6D" w:rsidRDefault="006F7551" w:rsidP="007B723A">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A94F92" w:rsidRPr="004B0F6D" w:rsidRDefault="006F7551" w:rsidP="007B723A">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A94F92" w:rsidRPr="004B0F6D" w:rsidRDefault="006F7551" w:rsidP="007B723A">
                    <w:pPr>
                      <w:pStyle w:val="Paragraphestandard"/>
                      <w:spacing w:line="240" w:lineRule="auto"/>
                      <w:rPr>
                        <w:rFonts w:asciiTheme="majorHAnsi" w:hAnsiTheme="majorHAnsi" w:cs="Calibri"/>
                        <w:sz w:val="16"/>
                        <w:szCs w:val="16"/>
                      </w:rPr>
                    </w:pPr>
                    <w:proofErr w:type="gramStart"/>
                    <w:r w:rsidRPr="004B0F6D">
                      <w:rPr>
                        <w:rFonts w:asciiTheme="majorHAnsi" w:hAnsiTheme="majorHAnsi" w:cs="Calibri"/>
                        <w:sz w:val="16"/>
                        <w:szCs w:val="16"/>
                      </w:rPr>
                      <w:t>tél</w:t>
                    </w:r>
                    <w:proofErr w:type="gramEnd"/>
                    <w:r w:rsidRPr="004B0F6D">
                      <w:rPr>
                        <w:rFonts w:asciiTheme="majorHAnsi" w:hAnsiTheme="majorHAnsi" w:cs="Calibri"/>
                        <w:sz w:val="16"/>
                        <w:szCs w:val="16"/>
                      </w:rPr>
                      <w:t xml:space="preserve"> : +33 (0)5 57 12 44 44</w:t>
                    </w:r>
                  </w:p>
                  <w:p w:rsidR="00A94F92" w:rsidRPr="004B0F6D" w:rsidRDefault="006F7551" w:rsidP="007B723A">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B53" w:rsidRDefault="00950B53">
      <w:r>
        <w:separator/>
      </w:r>
    </w:p>
  </w:footnote>
  <w:footnote w:type="continuationSeparator" w:id="0">
    <w:p w:rsidR="00950B53" w:rsidRDefault="0095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92" w:rsidRDefault="006F7551" w:rsidP="00DD5D77">
    <w:pPr>
      <w:pStyle w:val="En-tte"/>
      <w:ind w:left="-2127"/>
    </w:pPr>
    <w:r>
      <w:rPr>
        <w:rFonts w:asciiTheme="majorHAnsi" w:hAnsiTheme="majorHAnsi"/>
        <w:b/>
        <w:noProof/>
        <w:lang w:eastAsia="fr-FR"/>
      </w:rPr>
      <w:drawing>
        <wp:inline distT="0" distB="0" distL="0" distR="0" wp14:anchorId="2BAC1056" wp14:editId="02FB8418">
          <wp:extent cx="2590800" cy="1655064"/>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LOGO-ZS-Q.jpg"/>
                  <pic:cNvPicPr/>
                </pic:nvPicPr>
                <pic:blipFill>
                  <a:blip r:embed="rId1">
                    <a:extLst>
                      <a:ext uri="{28A0092B-C50C-407E-A947-70E740481C1C}">
                        <a14:useLocalDpi xmlns:a14="http://schemas.microsoft.com/office/drawing/2010/main" val="0"/>
                      </a:ext>
                    </a:extLst>
                  </a:blip>
                  <a:stretch>
                    <a:fillRect/>
                  </a:stretch>
                </pic:blipFill>
                <pic:spPr>
                  <a:xfrm>
                    <a:off x="0" y="0"/>
                    <a:ext cx="2590800" cy="16550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92" w:rsidRDefault="006F7551" w:rsidP="00DD5D77">
    <w:pPr>
      <w:pStyle w:val="En-tte"/>
      <w:tabs>
        <w:tab w:val="clear" w:pos="4703"/>
        <w:tab w:val="clear" w:pos="9406"/>
      </w:tabs>
      <w:ind w:left="-2127"/>
    </w:pPr>
    <w:r>
      <w:rPr>
        <w:rFonts w:asciiTheme="majorHAnsi" w:hAnsiTheme="majorHAnsi"/>
        <w:b/>
        <w:noProof/>
        <w:lang w:eastAsia="fr-FR"/>
      </w:rPr>
      <w:drawing>
        <wp:inline distT="0" distB="0" distL="0" distR="0" wp14:anchorId="23D8E3AD" wp14:editId="52A317D9">
          <wp:extent cx="2590800" cy="1655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LOGOGLYPHES-ZS-Q.jpg"/>
                  <pic:cNvPicPr/>
                </pic:nvPicPr>
                <pic:blipFill>
                  <a:blip r:embed="rId1">
                    <a:extLst>
                      <a:ext uri="{28A0092B-C50C-407E-A947-70E740481C1C}">
                        <a14:useLocalDpi xmlns:a14="http://schemas.microsoft.com/office/drawing/2010/main" val="0"/>
                      </a:ext>
                    </a:extLst>
                  </a:blip>
                  <a:stretch>
                    <a:fillRect/>
                  </a:stretch>
                </pic:blipFill>
                <pic:spPr>
                  <a:xfrm>
                    <a:off x="0" y="0"/>
                    <a:ext cx="2590800" cy="1655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663C6418"/>
    <w:multiLevelType w:val="hybridMultilevel"/>
    <w:tmpl w:val="D2BC163C"/>
    <w:lvl w:ilvl="0" w:tplc="136A1214">
      <w:numFmt w:val="bullet"/>
      <w:lvlText w:val="-"/>
      <w:lvlJc w:val="left"/>
      <w:pPr>
        <w:tabs>
          <w:tab w:val="num" w:pos="720"/>
        </w:tabs>
        <w:ind w:left="720" w:hanging="360"/>
      </w:pPr>
      <w:rPr>
        <w:rFonts w:ascii="Times New Roman" w:eastAsia="Times New Roman" w:hAnsi="Times New Roman" w:cs="Times New Roman"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22"/>
    <w:rsid w:val="0003129D"/>
    <w:rsid w:val="000F7991"/>
    <w:rsid w:val="00112E6B"/>
    <w:rsid w:val="00114BBF"/>
    <w:rsid w:val="0014210A"/>
    <w:rsid w:val="00144022"/>
    <w:rsid w:val="001873FC"/>
    <w:rsid w:val="00196D97"/>
    <w:rsid w:val="003540F4"/>
    <w:rsid w:val="003B3913"/>
    <w:rsid w:val="00476302"/>
    <w:rsid w:val="004D2040"/>
    <w:rsid w:val="004E74C7"/>
    <w:rsid w:val="004F6432"/>
    <w:rsid w:val="00507D48"/>
    <w:rsid w:val="0055670F"/>
    <w:rsid w:val="00572619"/>
    <w:rsid w:val="0063119C"/>
    <w:rsid w:val="00652217"/>
    <w:rsid w:val="006E4D48"/>
    <w:rsid w:val="006F7551"/>
    <w:rsid w:val="00744E2A"/>
    <w:rsid w:val="00774D8A"/>
    <w:rsid w:val="00822095"/>
    <w:rsid w:val="00870CCA"/>
    <w:rsid w:val="00907950"/>
    <w:rsid w:val="00950B53"/>
    <w:rsid w:val="00A17F67"/>
    <w:rsid w:val="00A3728B"/>
    <w:rsid w:val="00A574EA"/>
    <w:rsid w:val="00B56E3B"/>
    <w:rsid w:val="00C86498"/>
    <w:rsid w:val="00DB1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6CAB"/>
  <w15:chartTrackingRefBased/>
  <w15:docId w15:val="{992CD514-0248-491E-BA2C-3568279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022"/>
    <w:pPr>
      <w:spacing w:after="0" w:line="240" w:lineRule="auto"/>
    </w:pPr>
    <w:rPr>
      <w:rFonts w:eastAsiaTheme="minorEastAsia"/>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4022"/>
    <w:pPr>
      <w:tabs>
        <w:tab w:val="center" w:pos="4703"/>
        <w:tab w:val="right" w:pos="9406"/>
      </w:tabs>
    </w:pPr>
  </w:style>
  <w:style w:type="character" w:customStyle="1" w:styleId="En-tteCar">
    <w:name w:val="En-tête Car"/>
    <w:basedOn w:val="Policepardfaut"/>
    <w:link w:val="En-tte"/>
    <w:uiPriority w:val="99"/>
    <w:rsid w:val="00144022"/>
    <w:rPr>
      <w:rFonts w:eastAsiaTheme="minorEastAsia"/>
      <w:szCs w:val="24"/>
    </w:rPr>
  </w:style>
  <w:style w:type="paragraph" w:styleId="Pieddepage">
    <w:name w:val="footer"/>
    <w:basedOn w:val="Normal"/>
    <w:link w:val="PieddepageCar"/>
    <w:uiPriority w:val="99"/>
    <w:unhideWhenUsed/>
    <w:rsid w:val="00144022"/>
    <w:pPr>
      <w:tabs>
        <w:tab w:val="center" w:pos="4703"/>
        <w:tab w:val="right" w:pos="9406"/>
      </w:tabs>
    </w:pPr>
  </w:style>
  <w:style w:type="character" w:customStyle="1" w:styleId="PieddepageCar">
    <w:name w:val="Pied de page Car"/>
    <w:basedOn w:val="Policepardfaut"/>
    <w:link w:val="Pieddepage"/>
    <w:uiPriority w:val="99"/>
    <w:rsid w:val="00144022"/>
    <w:rPr>
      <w:rFonts w:eastAsiaTheme="minorEastAsia"/>
      <w:szCs w:val="24"/>
    </w:rPr>
  </w:style>
  <w:style w:type="paragraph" w:customStyle="1" w:styleId="Paragraphestandard">
    <w:name w:val="[Paragraphe standard]"/>
    <w:basedOn w:val="Normal"/>
    <w:uiPriority w:val="99"/>
    <w:rsid w:val="0014402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itreblocmetteur">
    <w:name w:val="Titre bloc émetteur"/>
    <w:basedOn w:val="Paragraphestandard"/>
    <w:autoRedefine/>
    <w:qFormat/>
    <w:rsid w:val="00144022"/>
    <w:pPr>
      <w:spacing w:line="240" w:lineRule="auto"/>
      <w:ind w:left="-1560"/>
    </w:pPr>
    <w:rPr>
      <w:rFonts w:ascii="Calibri" w:hAnsi="Calibri" w:cs="Calibri"/>
      <w:b/>
      <w:sz w:val="18"/>
      <w:szCs w:val="18"/>
    </w:rPr>
  </w:style>
  <w:style w:type="paragraph" w:styleId="Paragraphedeliste">
    <w:name w:val="List Paragraph"/>
    <w:basedOn w:val="Normal"/>
    <w:uiPriority w:val="34"/>
    <w:qFormat/>
    <w:rsid w:val="00A17F67"/>
    <w:pPr>
      <w:ind w:left="720"/>
      <w:contextualSpacing/>
    </w:pPr>
  </w:style>
  <w:style w:type="character" w:styleId="Lienhypertexte">
    <w:name w:val="Hyperlink"/>
    <w:basedOn w:val="Policepardfaut"/>
    <w:uiPriority w:val="99"/>
    <w:unhideWhenUsed/>
    <w:rsid w:val="000F7991"/>
    <w:rPr>
      <w:color w:val="0563C1" w:themeColor="hyperlink"/>
      <w:u w:val="single"/>
    </w:rPr>
  </w:style>
  <w:style w:type="character" w:styleId="Mentionnonrsolue">
    <w:name w:val="Unresolved Mention"/>
    <w:basedOn w:val="Policepardfaut"/>
    <w:uiPriority w:val="99"/>
    <w:semiHidden/>
    <w:unhideWhenUsed/>
    <w:rsid w:val="000F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tranet.u-bordeaux-montaigne.fr/rita_fo/?num_cg=86&amp;num_form=1&amp;param1=ATT2021DA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4039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Marlène Barbotin</dc:creator>
  <cp:keywords/>
  <dc:description/>
  <cp:lastModifiedBy>Pascale Bancel</cp:lastModifiedBy>
  <cp:revision>4</cp:revision>
  <dcterms:created xsi:type="dcterms:W3CDTF">2021-05-18T10:15:00Z</dcterms:created>
  <dcterms:modified xsi:type="dcterms:W3CDTF">2021-05-19T16:03:00Z</dcterms:modified>
</cp:coreProperties>
</file>